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B4" w:rsidRDefault="00BB52B4">
      <w:pPr>
        <w:rPr>
          <w:b/>
        </w:rPr>
      </w:pPr>
      <w:r>
        <w:rPr>
          <w:b/>
        </w:rPr>
        <w:t xml:space="preserve">                            </w:t>
      </w:r>
    </w:p>
    <w:p w:rsidR="00B04FB3" w:rsidRPr="00A51848" w:rsidRDefault="00955023">
      <w:pPr>
        <w:rPr>
          <w:b/>
          <w:sz w:val="28"/>
          <w:szCs w:val="28"/>
        </w:rPr>
      </w:pPr>
      <w:r>
        <w:rPr>
          <w:b/>
        </w:rPr>
        <w:t xml:space="preserve">          </w:t>
      </w:r>
      <w:r w:rsidR="00A51848">
        <w:rPr>
          <w:b/>
        </w:rPr>
        <w:t xml:space="preserve">                        </w:t>
      </w:r>
      <w:r>
        <w:rPr>
          <w:b/>
        </w:rPr>
        <w:t xml:space="preserve">     </w:t>
      </w:r>
      <w:r w:rsidR="00BB52B4" w:rsidRPr="00A51848">
        <w:rPr>
          <w:b/>
          <w:sz w:val="28"/>
          <w:szCs w:val="28"/>
        </w:rPr>
        <w:t>ΕΝΤΥΠΟ ΤΕΧΝΙΚΗΣ ΠΡΟΣΦΟΡΑΣ - ΦΥΛΛΟ ΣΥΜΜΟΡΦΩΣΗΣ</w:t>
      </w:r>
    </w:p>
    <w:p w:rsidR="00A62E76" w:rsidRDefault="00A51848">
      <w:pPr>
        <w:rPr>
          <w:b/>
        </w:rPr>
      </w:pPr>
      <w:r w:rsidRPr="00A51848">
        <w:rPr>
          <w:b/>
        </w:rPr>
        <w:t>ΠΑΡΟΧΗ ΥΠΗΡΕΣΙΩΝ ΓΙΑ ΤΗΝ ΝΑΥΑΓΟΣΩΣΤΙΚΗ ΚΑΛΥΨΗ ΛΟΥΤΡΙΚΩΝ ΕΓΚΑΤΑΣΤΑΣΕΩΝ ΤΟΥ ΔΗΜΟΥ ΜΥΤΙΛΗΝΗΣ ΓΙΑ ΤΟ ΕΤΟΣ 2024</w:t>
      </w:r>
    </w:p>
    <w:p w:rsidR="00A62E76" w:rsidRDefault="00A62E76">
      <w:pPr>
        <w:rPr>
          <w:b/>
        </w:rPr>
      </w:pPr>
    </w:p>
    <w:tbl>
      <w:tblPr>
        <w:tblStyle w:val="a3"/>
        <w:tblW w:w="0" w:type="auto"/>
        <w:tblLook w:val="04A0"/>
      </w:tblPr>
      <w:tblGrid>
        <w:gridCol w:w="817"/>
        <w:gridCol w:w="4820"/>
        <w:gridCol w:w="1701"/>
        <w:gridCol w:w="1559"/>
        <w:gridCol w:w="1785"/>
      </w:tblGrid>
      <w:tr w:rsidR="00A62E76" w:rsidTr="00A62E76">
        <w:tc>
          <w:tcPr>
            <w:tcW w:w="817" w:type="dxa"/>
          </w:tcPr>
          <w:p w:rsidR="00A62E76" w:rsidRDefault="00A62E76" w:rsidP="00A62E76">
            <w:pPr>
              <w:jc w:val="center"/>
              <w:rPr>
                <w:b/>
              </w:rPr>
            </w:pPr>
            <w:r>
              <w:rPr>
                <w:b/>
              </w:rPr>
              <w:t>Α/Α</w:t>
            </w:r>
          </w:p>
          <w:p w:rsidR="00955023" w:rsidRDefault="00955023" w:rsidP="00A62E76">
            <w:pPr>
              <w:jc w:val="center"/>
              <w:rPr>
                <w:b/>
              </w:rPr>
            </w:pPr>
          </w:p>
        </w:tc>
        <w:tc>
          <w:tcPr>
            <w:tcW w:w="4820" w:type="dxa"/>
          </w:tcPr>
          <w:p w:rsidR="00A62E76" w:rsidRDefault="00A62E76" w:rsidP="00A62E76">
            <w:pPr>
              <w:jc w:val="center"/>
              <w:rPr>
                <w:b/>
              </w:rPr>
            </w:pPr>
            <w:r>
              <w:rPr>
                <w:b/>
              </w:rPr>
              <w:t>ΕΙΔΟΣ ΥΠΗΡΕΣΙΑΣ</w:t>
            </w:r>
          </w:p>
          <w:p w:rsidR="00955023" w:rsidRDefault="00955023" w:rsidP="00A62E76">
            <w:pPr>
              <w:jc w:val="center"/>
              <w:rPr>
                <w:b/>
              </w:rPr>
            </w:pPr>
          </w:p>
        </w:tc>
        <w:tc>
          <w:tcPr>
            <w:tcW w:w="1701" w:type="dxa"/>
          </w:tcPr>
          <w:p w:rsidR="00A62E76" w:rsidRDefault="00A62E76" w:rsidP="00A62E76">
            <w:pPr>
              <w:jc w:val="center"/>
              <w:rPr>
                <w:b/>
              </w:rPr>
            </w:pPr>
            <w:r>
              <w:rPr>
                <w:b/>
              </w:rPr>
              <w:t>ΑΠΑΙΤΗΣΗ</w:t>
            </w:r>
          </w:p>
          <w:p w:rsidR="00955023" w:rsidRDefault="00955023" w:rsidP="00A62E76">
            <w:pPr>
              <w:jc w:val="center"/>
              <w:rPr>
                <w:b/>
              </w:rPr>
            </w:pPr>
          </w:p>
        </w:tc>
        <w:tc>
          <w:tcPr>
            <w:tcW w:w="1559" w:type="dxa"/>
          </w:tcPr>
          <w:p w:rsidR="00A62E76" w:rsidRDefault="00A62E76" w:rsidP="00A62E76">
            <w:pPr>
              <w:jc w:val="center"/>
              <w:rPr>
                <w:b/>
              </w:rPr>
            </w:pPr>
            <w:r>
              <w:rPr>
                <w:b/>
              </w:rPr>
              <w:t>ΑΠΑΝΤΗΣΗ</w:t>
            </w:r>
          </w:p>
          <w:p w:rsidR="00955023" w:rsidRDefault="00955023" w:rsidP="00A62E76">
            <w:pPr>
              <w:jc w:val="center"/>
              <w:rPr>
                <w:b/>
              </w:rPr>
            </w:pPr>
          </w:p>
        </w:tc>
        <w:tc>
          <w:tcPr>
            <w:tcW w:w="1785" w:type="dxa"/>
          </w:tcPr>
          <w:p w:rsidR="00A62E76" w:rsidRDefault="00A62E76" w:rsidP="00A62E76">
            <w:pPr>
              <w:jc w:val="center"/>
              <w:rPr>
                <w:b/>
              </w:rPr>
            </w:pPr>
            <w:r>
              <w:rPr>
                <w:b/>
              </w:rPr>
              <w:t>ΠΑΡΑΤΗΡΗΣΕΙΣ</w:t>
            </w:r>
          </w:p>
          <w:p w:rsidR="00955023" w:rsidRDefault="00955023" w:rsidP="00A62E76">
            <w:pPr>
              <w:jc w:val="center"/>
              <w:rPr>
                <w:b/>
              </w:rPr>
            </w:pPr>
          </w:p>
        </w:tc>
      </w:tr>
      <w:tr w:rsidR="00A62E76" w:rsidTr="00A62E76">
        <w:tc>
          <w:tcPr>
            <w:tcW w:w="817" w:type="dxa"/>
          </w:tcPr>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r>
              <w:rPr>
                <w:b/>
              </w:rPr>
              <w:t>1.</w:t>
            </w:r>
          </w:p>
        </w:tc>
        <w:tc>
          <w:tcPr>
            <w:tcW w:w="4820" w:type="dxa"/>
          </w:tcPr>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Α) Ο ανάδοχος υποχρεούται να διαθέσει προσωπικό εκτέλεσης της ναυαγοσωστικής υπηρεσίας ως ακολούθως:</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1) Ναυαγοσώστες για τα δύο ναυαγοσωστικά βάθρα (παρατηρητήρια) των παραλιών Πλαζ Τσαμάκια και Άγιος Ισίδωρος. </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Η υπηρεσία θα παρέχεται καθημερινά 7 ημέρες την εβδομάδα από 10:00 έως 18:00, από 1η Ιουνίου έως και 30η  Σεπτεμβρίου σύμφωνα με τα προβλεπόμενα στο άρθρο 7 του ΠΔ 71/2020. </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Υποχρεώσεις ναυαγοσώστη: </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Ο ναυαγοσώστης θα βρίσκεται σε ετοιμότητα με ένδυμα κολύμβησης καθ’ όλη την διάρκεια της υπηρεσίας του, θα παρακολουθεί τους λουόμενους, και θα είναι σε ετοιμότητα για παροχή άμεσης βοήθειας. </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Μπορεί είτε να κάθεται επί του υπάρχοντος βάθρου ναυαγοσώστη είτε να περιπολεί με τη μικρή σωστική λέµβο του βάθρου που θα του διαθέσει ο Δήμος κωπηλατώντας κοντά στο χώρο των λουοµένων. Κάθε ναυαγοσώστης θα ελέγχει έκταση ακτής σε ακτίνα διακοσίων (200) μέτρων εκατέρωθεν του βάθρου.</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2) Ένα χειριστή σκάφους και ένα ναυαγοσώστη επιβαίνοντες στο ταχύπλοο ναυαγοσωστικό σκάφος τουλάχιστον 5 μέτρων που θα διαθέσει ο Δήμος, όντες σε ετοιμότητα καθημερινά για παροχή άμεσης βοήθειας στις υφιστάμενες λουτρικές εγκαταστάσεις του Δήμου. </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Η υπηρεσία θα παρέχεται καθημερινά 7 ημέρες την εβδομάδα από 10:00 έως 18:00, από 1η Ιουνίου έως και 30η Σεπτεμβρίου.</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p>
          <w:p w:rsidR="00955023" w:rsidRPr="00955023" w:rsidRDefault="00955023" w:rsidP="00955023">
            <w:pPr>
              <w:jc w:val="both"/>
              <w:rPr>
                <w:rFonts w:eastAsia="Palatino Linotype" w:cstheme="minorHAnsi"/>
              </w:rPr>
            </w:pP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Β) Ο ανάδοχος υποχρεούται να εφοδιάσει τους ναυαγοσώστες των δύο βάθρων (παρατηρητηρίων) των παραλιών Πλαζ Τσαμάκια και Άγιος Ισίδωρος με τα ακόλουθα υλικά που προβλέπονται στην παρ. 1 (γ) του άρθρου 7 του Π.Δ. 71/2020 ως απαραίτητα </w:t>
            </w:r>
            <w:r>
              <w:rPr>
                <w:rFonts w:eastAsia="Palatino Linotype" w:cstheme="minorHAnsi"/>
              </w:rPr>
              <w:t>για την εκτέλεση της υπηρεσίας</w:t>
            </w:r>
            <w:r w:rsidRPr="00955023">
              <w:rPr>
                <w:rFonts w:eastAsia="Palatino Linotype" w:cstheme="minorHAnsi"/>
              </w:rPr>
              <w:t>:</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1)Ένδυμα κολύμβησης χρώματος πορτοκαλί, στο οποίο αναγράφεται η ένδειξη ΝΑΥΑΓΟΣΩΣΤΗΣ – LIFE GUARD, </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2)Καπέλο, στην εμπρόσθια όψη του οποίου αναγράφεται η ένδειξη ΝΑΥΑΓΟΣΩΣΤΗΣ και, κάτωθεν αυτής, την ένδειξη LIFE GUARD, </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3)Γυαλιά ηλίου,</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4)Μάσκα βυθού, </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5)Βατραχοπέδιλα, </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6)Κινητό τηλέφωνο για κάθε βάθρο/ναυαγοσώστη, με διαφορετικό αριθμό κλήσης έκαστο, ο αριθμός κλήσης του οποίου δημοσιοποιείται, με μέριμνα των, κατά περίπτωση, υπόχρεων, με κάθε πρόσφορο μέσο, αναγράφεται σε περίοπτη θέση στο βάθρο (παρατηρητήριο) και αναφέρεται εγγράφως στην τοπική Λιμενική Αρχή, </w:t>
            </w:r>
          </w:p>
          <w:p w:rsidR="00955023" w:rsidRP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7)Κοινή σφυρίχτρα, </w:t>
            </w:r>
          </w:p>
          <w:p w:rsidR="00955023" w:rsidRPr="00955023" w:rsidRDefault="00955023" w:rsidP="00955023">
            <w:pPr>
              <w:jc w:val="both"/>
              <w:rPr>
                <w:rFonts w:eastAsia="Palatino Linotype" w:cstheme="minorHAnsi"/>
              </w:rPr>
            </w:pPr>
          </w:p>
          <w:p w:rsidR="00955023" w:rsidRDefault="00955023" w:rsidP="00955023">
            <w:pPr>
              <w:spacing w:line="276" w:lineRule="auto"/>
              <w:jc w:val="both"/>
              <w:rPr>
                <w:rFonts w:eastAsia="Palatino Linotype" w:cstheme="minorHAnsi"/>
              </w:rPr>
            </w:pPr>
            <w:r w:rsidRPr="00955023">
              <w:rPr>
                <w:rFonts w:eastAsia="Palatino Linotype" w:cstheme="minorHAnsi"/>
              </w:rPr>
              <w:t>8)Κατάλληλη, ειδική, πλαστική ή χάρτινη κάρτα, εντός πλαστικής μεμβράνης ή θήκης, η οποία περιέχει το όνομα του ναυαγοσώστη, τη φωτογραφία του, τον αριθμό πρωτοκόλλου της άδειας ναυαγοσώστη που κατέχει, καθώς και τη Λιμενική Αρχή έκδοσης της άδειας.</w:t>
            </w:r>
          </w:p>
          <w:p w:rsidR="00955023" w:rsidRDefault="00955023" w:rsidP="00955023">
            <w:pPr>
              <w:spacing w:line="276" w:lineRule="auto"/>
              <w:jc w:val="both"/>
              <w:rPr>
                <w:rFonts w:eastAsia="Palatino Linotype" w:cstheme="minorHAnsi"/>
              </w:rPr>
            </w:pPr>
          </w:p>
          <w:p w:rsidR="00A62E76" w:rsidRDefault="00A62E76" w:rsidP="00955023">
            <w:pPr>
              <w:jc w:val="both"/>
              <w:rPr>
                <w:b/>
              </w:rPr>
            </w:pPr>
          </w:p>
        </w:tc>
        <w:tc>
          <w:tcPr>
            <w:tcW w:w="1701" w:type="dxa"/>
          </w:tcPr>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p>
          <w:p w:rsidR="00A62E76" w:rsidRDefault="00A62E76" w:rsidP="00A62E76">
            <w:pPr>
              <w:jc w:val="center"/>
              <w:rPr>
                <w:b/>
              </w:rPr>
            </w:pPr>
            <w:r>
              <w:rPr>
                <w:b/>
              </w:rPr>
              <w:t>ΝΑΙ</w:t>
            </w:r>
          </w:p>
        </w:tc>
        <w:tc>
          <w:tcPr>
            <w:tcW w:w="1559" w:type="dxa"/>
          </w:tcPr>
          <w:p w:rsidR="00A62E76" w:rsidRDefault="00A62E76" w:rsidP="00A62E76">
            <w:pPr>
              <w:jc w:val="center"/>
              <w:rPr>
                <w:b/>
              </w:rPr>
            </w:pPr>
          </w:p>
        </w:tc>
        <w:tc>
          <w:tcPr>
            <w:tcW w:w="1785" w:type="dxa"/>
          </w:tcPr>
          <w:p w:rsidR="00A62E76" w:rsidRDefault="00A62E76" w:rsidP="00A62E76">
            <w:pPr>
              <w:jc w:val="center"/>
              <w:rPr>
                <w:b/>
              </w:rPr>
            </w:pPr>
          </w:p>
        </w:tc>
      </w:tr>
      <w:tr w:rsidR="00955023" w:rsidTr="00A62E76">
        <w:tc>
          <w:tcPr>
            <w:tcW w:w="817" w:type="dxa"/>
          </w:tcPr>
          <w:p w:rsidR="00955023" w:rsidRDefault="00955023" w:rsidP="00A62E76">
            <w:pPr>
              <w:jc w:val="center"/>
              <w:rPr>
                <w:b/>
              </w:rPr>
            </w:pPr>
          </w:p>
          <w:p w:rsidR="00955023" w:rsidRDefault="00955023" w:rsidP="00A62E76">
            <w:pPr>
              <w:jc w:val="center"/>
              <w:rPr>
                <w:b/>
              </w:rPr>
            </w:pPr>
          </w:p>
          <w:p w:rsidR="00955023" w:rsidRDefault="00955023" w:rsidP="00A62E76">
            <w:pPr>
              <w:jc w:val="center"/>
              <w:rPr>
                <w:b/>
              </w:rPr>
            </w:pPr>
          </w:p>
          <w:p w:rsidR="00955023" w:rsidRDefault="00955023" w:rsidP="00A62E76">
            <w:pPr>
              <w:jc w:val="center"/>
              <w:rPr>
                <w:b/>
              </w:rPr>
            </w:pPr>
          </w:p>
          <w:p w:rsidR="00955023" w:rsidRDefault="00955023" w:rsidP="00A62E76">
            <w:pPr>
              <w:jc w:val="center"/>
              <w:rPr>
                <w:b/>
              </w:rPr>
            </w:pPr>
          </w:p>
          <w:p w:rsidR="00955023" w:rsidRDefault="00955023" w:rsidP="00A62E76">
            <w:pPr>
              <w:jc w:val="center"/>
              <w:rPr>
                <w:b/>
              </w:rPr>
            </w:pPr>
          </w:p>
          <w:p w:rsidR="00955023" w:rsidRDefault="00955023" w:rsidP="00A62E76">
            <w:pPr>
              <w:jc w:val="center"/>
              <w:rPr>
                <w:b/>
              </w:rPr>
            </w:pPr>
          </w:p>
          <w:p w:rsidR="00955023" w:rsidRDefault="00955023" w:rsidP="00A62E76">
            <w:pPr>
              <w:jc w:val="center"/>
              <w:rPr>
                <w:b/>
              </w:rPr>
            </w:pPr>
            <w:r>
              <w:rPr>
                <w:b/>
              </w:rPr>
              <w:t>2.</w:t>
            </w:r>
          </w:p>
        </w:tc>
        <w:tc>
          <w:tcPr>
            <w:tcW w:w="4820" w:type="dxa"/>
          </w:tcPr>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Εξοπλισμός εκτέλεσ</w:t>
            </w:r>
            <w:r>
              <w:rPr>
                <w:rFonts w:eastAsia="Palatino Linotype" w:cstheme="minorHAnsi"/>
              </w:rPr>
              <w:t>ης της ναυαγοσωστικής υπηρεσίας</w:t>
            </w:r>
            <w:r w:rsidRPr="00955023">
              <w:rPr>
                <w:rFonts w:eastAsia="Palatino Linotype" w:cstheme="minorHAnsi"/>
              </w:rPr>
              <w:t xml:space="preserve">: </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Για την άριστη και απρόσκοπτη εκτέλεση της υπηρεσίας, οι ενδιαφερόμενοι υποχρεούνται να διαθέτουν τον απαιτούμενο και κατάλληλο εξοπλισμό σε είδος, αριθμό και λειτουργικότητα, που θα καθορίζουν στην προσφορά τους, σύμφωνα με τις απαιτήσεις της παρούσας μελέτης. </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 xml:space="preserve">Ο εξοπλισμός θα είναι σύγχρονης τεχνολογίας για κατάλληλη εκτέλεση των υπηρεσιών. </w:t>
            </w:r>
          </w:p>
          <w:p w:rsidR="00955023" w:rsidRDefault="00955023" w:rsidP="00955023">
            <w:pPr>
              <w:jc w:val="both"/>
              <w:rPr>
                <w:rFonts w:eastAsia="Palatino Linotype" w:cstheme="minorHAnsi"/>
              </w:rPr>
            </w:pPr>
          </w:p>
          <w:p w:rsidR="00955023" w:rsidRDefault="00955023" w:rsidP="00955023">
            <w:pPr>
              <w:jc w:val="both"/>
              <w:rPr>
                <w:rFonts w:eastAsia="Palatino Linotype" w:cstheme="minorHAnsi"/>
              </w:rPr>
            </w:pPr>
            <w:r w:rsidRPr="00955023">
              <w:rPr>
                <w:rFonts w:eastAsia="Palatino Linotype" w:cstheme="minorHAnsi"/>
              </w:rPr>
              <w:t>Σε κάθε περίπτωση ο ενδιαφερόμενος θα πρέπει αν κριθεί ανάδοχος του έργου να παρουσιάσει τον απαιτούμενο εξοπλισμό σε εφτά (7) μέρες από την πρόσκληση της αρμόδιας υπηρεσίας.</w:t>
            </w:r>
          </w:p>
          <w:p w:rsidR="00955023" w:rsidRDefault="00955023" w:rsidP="00955023">
            <w:pPr>
              <w:jc w:val="both"/>
              <w:rPr>
                <w:rFonts w:eastAsia="Palatino Linotype" w:cstheme="minorHAnsi"/>
              </w:rPr>
            </w:pPr>
          </w:p>
        </w:tc>
        <w:tc>
          <w:tcPr>
            <w:tcW w:w="1701" w:type="dxa"/>
          </w:tcPr>
          <w:p w:rsidR="006D717A" w:rsidRDefault="006D717A" w:rsidP="00A62E76">
            <w:pPr>
              <w:jc w:val="center"/>
              <w:rPr>
                <w:b/>
              </w:rPr>
            </w:pPr>
          </w:p>
          <w:p w:rsidR="006D717A" w:rsidRDefault="006D717A" w:rsidP="00A62E76">
            <w:pPr>
              <w:jc w:val="center"/>
              <w:rPr>
                <w:b/>
              </w:rPr>
            </w:pPr>
          </w:p>
          <w:p w:rsidR="006D717A" w:rsidRDefault="006D717A" w:rsidP="00A62E76">
            <w:pPr>
              <w:jc w:val="center"/>
              <w:rPr>
                <w:b/>
              </w:rPr>
            </w:pPr>
          </w:p>
          <w:p w:rsidR="006D717A" w:rsidRDefault="006D717A" w:rsidP="00A62E76">
            <w:pPr>
              <w:jc w:val="center"/>
              <w:rPr>
                <w:b/>
              </w:rPr>
            </w:pPr>
          </w:p>
          <w:p w:rsidR="006D717A" w:rsidRDefault="006D717A" w:rsidP="00A62E76">
            <w:pPr>
              <w:jc w:val="center"/>
              <w:rPr>
                <w:b/>
              </w:rPr>
            </w:pPr>
          </w:p>
          <w:p w:rsidR="006D717A" w:rsidRDefault="006D717A" w:rsidP="00A62E76">
            <w:pPr>
              <w:jc w:val="center"/>
              <w:rPr>
                <w:b/>
              </w:rPr>
            </w:pPr>
          </w:p>
          <w:p w:rsidR="00955023" w:rsidRDefault="006D717A" w:rsidP="006D717A">
            <w:pPr>
              <w:rPr>
                <w:b/>
              </w:rPr>
            </w:pPr>
            <w:r>
              <w:rPr>
                <w:b/>
              </w:rPr>
              <w:t xml:space="preserve">           </w:t>
            </w:r>
            <w:bookmarkStart w:id="0" w:name="_GoBack"/>
            <w:bookmarkEnd w:id="0"/>
            <w:r>
              <w:rPr>
                <w:b/>
              </w:rPr>
              <w:t>ΝΑΙ</w:t>
            </w:r>
          </w:p>
        </w:tc>
        <w:tc>
          <w:tcPr>
            <w:tcW w:w="1559" w:type="dxa"/>
          </w:tcPr>
          <w:p w:rsidR="00955023" w:rsidRDefault="00955023" w:rsidP="00A62E76">
            <w:pPr>
              <w:jc w:val="center"/>
              <w:rPr>
                <w:b/>
              </w:rPr>
            </w:pPr>
          </w:p>
        </w:tc>
        <w:tc>
          <w:tcPr>
            <w:tcW w:w="1785" w:type="dxa"/>
          </w:tcPr>
          <w:p w:rsidR="00955023" w:rsidRDefault="00955023" w:rsidP="00A62E76">
            <w:pPr>
              <w:jc w:val="center"/>
              <w:rPr>
                <w:b/>
              </w:rPr>
            </w:pPr>
          </w:p>
        </w:tc>
      </w:tr>
    </w:tbl>
    <w:p w:rsidR="00BB52B4" w:rsidRDefault="00BB52B4">
      <w:pPr>
        <w:rPr>
          <w:b/>
        </w:rPr>
      </w:pPr>
    </w:p>
    <w:p w:rsidR="00A62E76" w:rsidRDefault="00A62E76">
      <w:pPr>
        <w:rPr>
          <w:b/>
        </w:rPr>
      </w:pPr>
    </w:p>
    <w:p w:rsidR="00955023" w:rsidRDefault="00955023">
      <w:pPr>
        <w:rPr>
          <w:b/>
        </w:rPr>
      </w:pPr>
    </w:p>
    <w:p w:rsidR="00955023" w:rsidRDefault="00955023">
      <w:pPr>
        <w:rPr>
          <w:b/>
        </w:rPr>
      </w:pPr>
    </w:p>
    <w:p w:rsidR="00A62E76" w:rsidRDefault="00955023" w:rsidP="00A62E76">
      <w:pPr>
        <w:jc w:val="center"/>
        <w:rPr>
          <w:rFonts w:ascii="Calibri" w:hAnsi="Calibri" w:cs="Calibri"/>
          <w:sz w:val="21"/>
          <w:szCs w:val="21"/>
        </w:rPr>
      </w:pPr>
      <w:r>
        <w:rPr>
          <w:rFonts w:ascii="Calibri" w:hAnsi="Calibri" w:cs="Calibri"/>
          <w:sz w:val="21"/>
          <w:szCs w:val="21"/>
        </w:rPr>
        <w:t>Μυτιλήνη,   ....../......... / 2024</w:t>
      </w:r>
    </w:p>
    <w:p w:rsidR="00955023" w:rsidRDefault="00955023" w:rsidP="00A62E76">
      <w:pPr>
        <w:jc w:val="center"/>
        <w:rPr>
          <w:rFonts w:ascii="Calibri" w:hAnsi="Calibri" w:cs="Calibri"/>
          <w:sz w:val="21"/>
          <w:szCs w:val="21"/>
        </w:rPr>
      </w:pPr>
    </w:p>
    <w:p w:rsidR="00955023" w:rsidRDefault="00955023" w:rsidP="00A62E76">
      <w:pPr>
        <w:jc w:val="center"/>
        <w:rPr>
          <w:rFonts w:ascii="Calibri" w:hAnsi="Calibri" w:cs="Calibri"/>
          <w:sz w:val="21"/>
          <w:szCs w:val="21"/>
        </w:rPr>
      </w:pPr>
    </w:p>
    <w:p w:rsidR="00955023" w:rsidRDefault="00A62E76" w:rsidP="00A62E76">
      <w:pPr>
        <w:jc w:val="center"/>
        <w:rPr>
          <w:rFonts w:ascii="Calibri" w:hAnsi="Calibri" w:cs="Calibri"/>
          <w:sz w:val="21"/>
          <w:szCs w:val="21"/>
        </w:rPr>
      </w:pPr>
      <w:r>
        <w:rPr>
          <w:rFonts w:ascii="Calibri" w:hAnsi="Calibri" w:cs="Calibri"/>
          <w:sz w:val="21"/>
          <w:szCs w:val="21"/>
        </w:rPr>
        <w:t xml:space="preserve">Ο </w:t>
      </w:r>
    </w:p>
    <w:p w:rsidR="00A62E76" w:rsidRDefault="00A62E76" w:rsidP="00A62E76">
      <w:pPr>
        <w:jc w:val="center"/>
        <w:rPr>
          <w:rFonts w:ascii="Calibri" w:hAnsi="Calibri" w:cs="Calibri"/>
          <w:sz w:val="21"/>
          <w:szCs w:val="21"/>
        </w:rPr>
      </w:pPr>
      <w:r>
        <w:rPr>
          <w:rFonts w:ascii="Calibri" w:hAnsi="Calibri" w:cs="Calibri"/>
          <w:sz w:val="21"/>
          <w:szCs w:val="21"/>
        </w:rPr>
        <w:t>Προσφέρων</w:t>
      </w:r>
    </w:p>
    <w:p w:rsidR="00A62E76" w:rsidRDefault="00A62E76" w:rsidP="00A62E76">
      <w:pPr>
        <w:jc w:val="center"/>
        <w:rPr>
          <w:rFonts w:ascii="Calibri" w:hAnsi="Calibri" w:cs="Calibri"/>
          <w:sz w:val="21"/>
          <w:szCs w:val="21"/>
        </w:rPr>
      </w:pPr>
    </w:p>
    <w:p w:rsidR="00A62E76" w:rsidRDefault="00A62E76" w:rsidP="00A62E76">
      <w:pPr>
        <w:jc w:val="center"/>
        <w:rPr>
          <w:rFonts w:ascii="Calibri" w:hAnsi="Calibri" w:cs="Calibri"/>
          <w:sz w:val="21"/>
          <w:szCs w:val="21"/>
        </w:rPr>
      </w:pPr>
      <w:r>
        <w:rPr>
          <w:rFonts w:ascii="Calibri" w:hAnsi="Calibri" w:cs="Calibri"/>
          <w:sz w:val="21"/>
          <w:szCs w:val="21"/>
        </w:rPr>
        <w:t>Υπογραφή &amp; σφραγίδα</w:t>
      </w:r>
    </w:p>
    <w:p w:rsidR="00A62E76" w:rsidRDefault="00A62E76" w:rsidP="00A62E76">
      <w:pPr>
        <w:jc w:val="center"/>
        <w:rPr>
          <w:rFonts w:ascii="Calibri" w:hAnsi="Calibri" w:cs="Calibri"/>
          <w:sz w:val="21"/>
          <w:szCs w:val="21"/>
        </w:rPr>
      </w:pPr>
    </w:p>
    <w:p w:rsidR="00A62E76" w:rsidRDefault="00A62E76" w:rsidP="00A62E76">
      <w:pPr>
        <w:jc w:val="center"/>
        <w:rPr>
          <w:rFonts w:ascii="Calibri" w:hAnsi="Calibri" w:cs="Calibri"/>
          <w:sz w:val="21"/>
          <w:szCs w:val="21"/>
        </w:rPr>
      </w:pPr>
    </w:p>
    <w:p w:rsidR="00A62E76" w:rsidRDefault="00A62E76" w:rsidP="00A62E76">
      <w:pPr>
        <w:jc w:val="center"/>
        <w:rPr>
          <w:rFonts w:ascii="Calibri" w:hAnsi="Calibri" w:cs="Calibri"/>
          <w:sz w:val="21"/>
          <w:szCs w:val="21"/>
        </w:rPr>
      </w:pPr>
    </w:p>
    <w:p w:rsidR="00A62E76" w:rsidRDefault="00A62E76" w:rsidP="00A62E76">
      <w:pPr>
        <w:jc w:val="center"/>
        <w:rPr>
          <w:rFonts w:ascii="Calibri" w:hAnsi="Calibri" w:cs="Calibri"/>
          <w:sz w:val="21"/>
          <w:szCs w:val="21"/>
        </w:rPr>
      </w:pPr>
    </w:p>
    <w:sectPr w:rsidR="00A62E76" w:rsidSect="00BB52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52110"/>
    <w:multiLevelType w:val="hybridMultilevel"/>
    <w:tmpl w:val="5082155C"/>
    <w:lvl w:ilvl="0" w:tplc="C3D68386">
      <w:start w:val="1"/>
      <w:numFmt w:val="bullet"/>
      <w:lvlText w:val="-"/>
      <w:lvlJc w:val="left"/>
      <w:pPr>
        <w:ind w:left="720" w:hanging="360"/>
      </w:pPr>
      <w:rPr>
        <w:rFonts w:ascii="Calibri" w:eastAsia="Palatino Linotype"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BB52B4"/>
    <w:rsid w:val="000146B1"/>
    <w:rsid w:val="001F38F6"/>
    <w:rsid w:val="00522AD9"/>
    <w:rsid w:val="00551A88"/>
    <w:rsid w:val="00570BEA"/>
    <w:rsid w:val="00681517"/>
    <w:rsid w:val="006942B7"/>
    <w:rsid w:val="006D717A"/>
    <w:rsid w:val="006F2104"/>
    <w:rsid w:val="007E1E7F"/>
    <w:rsid w:val="007F62B9"/>
    <w:rsid w:val="00940CD2"/>
    <w:rsid w:val="00955023"/>
    <w:rsid w:val="009845BB"/>
    <w:rsid w:val="00A5095A"/>
    <w:rsid w:val="00A51848"/>
    <w:rsid w:val="00A62E76"/>
    <w:rsid w:val="00B04FB3"/>
    <w:rsid w:val="00B34EFB"/>
    <w:rsid w:val="00BB52B4"/>
    <w:rsid w:val="00CC39B2"/>
    <w:rsid w:val="00D267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46B1"/>
    <w:pPr>
      <w:spacing w:after="0" w:line="240" w:lineRule="auto"/>
      <w:ind w:left="720"/>
      <w:contextualSpacing/>
    </w:pPr>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6B1"/>
    <w:pPr>
      <w:spacing w:after="0" w:line="240" w:lineRule="auto"/>
      <w:ind w:left="720"/>
      <w:contextualSpacing/>
    </w:pPr>
    <w:rPr>
      <w:rFonts w:ascii="Arial" w:eastAsia="Times New Roman" w:hAnsi="Arial"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214240934">
      <w:bodyDiv w:val="1"/>
      <w:marLeft w:val="0"/>
      <w:marRight w:val="0"/>
      <w:marTop w:val="0"/>
      <w:marBottom w:val="0"/>
      <w:divBdr>
        <w:top w:val="none" w:sz="0" w:space="0" w:color="auto"/>
        <w:left w:val="none" w:sz="0" w:space="0" w:color="auto"/>
        <w:bottom w:val="none" w:sz="0" w:space="0" w:color="auto"/>
        <w:right w:val="none" w:sz="0" w:space="0" w:color="auto"/>
      </w:divBdr>
    </w:div>
    <w:div w:id="1893735504">
      <w:bodyDiv w:val="1"/>
      <w:marLeft w:val="0"/>
      <w:marRight w:val="0"/>
      <w:marTop w:val="0"/>
      <w:marBottom w:val="0"/>
      <w:divBdr>
        <w:top w:val="none" w:sz="0" w:space="0" w:color="auto"/>
        <w:left w:val="none" w:sz="0" w:space="0" w:color="auto"/>
        <w:bottom w:val="none" w:sz="0" w:space="0" w:color="auto"/>
        <w:right w:val="none" w:sz="0" w:space="0" w:color="auto"/>
      </w:divBdr>
    </w:div>
    <w:div w:id="1996257433">
      <w:bodyDiv w:val="1"/>
      <w:marLeft w:val="0"/>
      <w:marRight w:val="0"/>
      <w:marTop w:val="0"/>
      <w:marBottom w:val="0"/>
      <w:divBdr>
        <w:top w:val="none" w:sz="0" w:space="0" w:color="auto"/>
        <w:left w:val="none" w:sz="0" w:space="0" w:color="auto"/>
        <w:bottom w:val="none" w:sz="0" w:space="0" w:color="auto"/>
        <w:right w:val="none" w:sz="0" w:space="0" w:color="auto"/>
      </w:divBdr>
    </w:div>
    <w:div w:id="211500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2859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Michalis</cp:lastModifiedBy>
  <cp:revision>2</cp:revision>
  <dcterms:created xsi:type="dcterms:W3CDTF">2024-04-11T09:41:00Z</dcterms:created>
  <dcterms:modified xsi:type="dcterms:W3CDTF">2024-04-11T09:41:00Z</dcterms:modified>
</cp:coreProperties>
</file>